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B42E6">
      <w:pPr>
        <w:ind w:left="392"/>
        <w:jc w:val="center"/>
        <w:rPr>
          <w:b/>
          <w:sz w:val="40"/>
        </w:rPr>
      </w:pPr>
      <w:r>
        <w:rPr>
          <w:b/>
          <w:sz w:val="40"/>
        </w:rPr>
        <w:t>TÁJÉKOZTATÓ</w:t>
      </w:r>
    </w:p>
    <w:p w:rsidR="00000000" w:rsidRDefault="006B42E6">
      <w:pPr>
        <w:jc w:val="center"/>
      </w:pPr>
      <w:r>
        <w:rPr>
          <w:b/>
          <w:sz w:val="40"/>
        </w:rPr>
        <w:t xml:space="preserve"> </w:t>
      </w:r>
    </w:p>
    <w:p w:rsidR="00000000" w:rsidRDefault="006B42E6">
      <w:pPr>
        <w:jc w:val="both"/>
      </w:pPr>
      <w:r>
        <w:t>A Munka Törvénykönyvéről szóló 2012. évi I. törvény (továbbiakban: Mt.) 46. § (1) bekezdésében foglaltaknak megfelelően a következőkről tájékoztatom:</w:t>
      </w:r>
    </w:p>
    <w:p w:rsidR="00000000" w:rsidRDefault="006B42E6">
      <w:pPr>
        <w:jc w:val="both"/>
      </w:pPr>
    </w:p>
    <w:p w:rsidR="00000000" w:rsidRDefault="006B42E6">
      <w:pPr>
        <w:numPr>
          <w:ilvl w:val="0"/>
          <w:numId w:val="2"/>
        </w:numPr>
        <w:jc w:val="both"/>
      </w:pPr>
      <w:r>
        <w:t>A napi munkaidőre vonatkozó információkat a munkaszerződés 6. pontja tartalmazza.</w:t>
      </w:r>
    </w:p>
    <w:p w:rsidR="00000000" w:rsidRDefault="006B42E6">
      <w:pPr>
        <w:ind w:left="720"/>
        <w:jc w:val="both"/>
      </w:pPr>
    </w:p>
    <w:p w:rsidR="00000000" w:rsidRDefault="006B42E6">
      <w:pPr>
        <w:numPr>
          <w:ilvl w:val="0"/>
          <w:numId w:val="2"/>
        </w:numPr>
        <w:jc w:val="both"/>
      </w:pPr>
      <w:r>
        <w:t>A Munkav</w:t>
      </w:r>
      <w:r>
        <w:t>állalót a munkaszerződésben meghatározott alapbéren (és átalánydíjon) felül csak rendkívüli munkavégzés esetén illeti meg munkabér az új Mt. 143. § szerint.</w:t>
      </w:r>
    </w:p>
    <w:p w:rsidR="00000000" w:rsidRDefault="006B42E6">
      <w:pPr>
        <w:ind w:left="720"/>
        <w:jc w:val="both"/>
      </w:pPr>
    </w:p>
    <w:p w:rsidR="00000000" w:rsidRDefault="006B42E6">
      <w:pPr>
        <w:numPr>
          <w:ilvl w:val="0"/>
          <w:numId w:val="2"/>
        </w:numPr>
        <w:jc w:val="both"/>
      </w:pPr>
      <w:r>
        <w:t>A munkabérről való elszámolás módja: havonta utólag egy alkalommal az Mt. 155. § szerint. A munkab</w:t>
      </w:r>
      <w:r>
        <w:t>érfizetés gyakorisága: havonta utólag egy alkalommal a munkaszerződés szerint. A bérfizetés napja: legkésőbb a tárgyhót követő hó 10-ig.</w:t>
      </w:r>
    </w:p>
    <w:p w:rsidR="00000000" w:rsidRDefault="006B42E6">
      <w:pPr>
        <w:pStyle w:val="Listaszerbekezds"/>
      </w:pPr>
    </w:p>
    <w:p w:rsidR="00000000" w:rsidRDefault="006B42E6">
      <w:pPr>
        <w:numPr>
          <w:ilvl w:val="0"/>
          <w:numId w:val="2"/>
        </w:numPr>
        <w:jc w:val="both"/>
      </w:pPr>
      <w:r>
        <w:t>A munkakörbe tartozó feladatok: a Munkavállaló munkakörébe tartozó feladatokat a Munkaköri leírás tartalmazza.</w:t>
      </w:r>
    </w:p>
    <w:p w:rsidR="00000000" w:rsidRDefault="006B42E6">
      <w:pPr>
        <w:jc w:val="both"/>
      </w:pPr>
    </w:p>
    <w:p w:rsidR="00000000" w:rsidRDefault="006B42E6">
      <w:pPr>
        <w:numPr>
          <w:ilvl w:val="0"/>
          <w:numId w:val="2"/>
        </w:numPr>
        <w:jc w:val="both"/>
      </w:pPr>
      <w:r>
        <w:t>A munk</w:t>
      </w:r>
      <w:r>
        <w:t>avállalót megillető szabadság mértékére, számításának módjára, illetve a kiadásának szabályaira az Mt. 115-125. §-</w:t>
      </w:r>
      <w:proofErr w:type="spellStart"/>
      <w:r>
        <w:t>ai</w:t>
      </w:r>
      <w:proofErr w:type="spellEnd"/>
      <w:r>
        <w:t xml:space="preserve"> az </w:t>
      </w:r>
      <w:proofErr w:type="spellStart"/>
      <w:r>
        <w:t>irányadóak</w:t>
      </w:r>
      <w:proofErr w:type="spellEnd"/>
      <w:r>
        <w:t>.</w:t>
      </w:r>
    </w:p>
    <w:p w:rsidR="00000000" w:rsidRDefault="006B42E6">
      <w:pPr>
        <w:pStyle w:val="Listaszerbekezds"/>
      </w:pPr>
    </w:p>
    <w:p w:rsidR="00000000" w:rsidRDefault="006B42E6">
      <w:pPr>
        <w:numPr>
          <w:ilvl w:val="0"/>
          <w:numId w:val="2"/>
        </w:numPr>
        <w:jc w:val="both"/>
      </w:pPr>
      <w:r>
        <w:t xml:space="preserve">A Munkáltatóra és a Munkavállalóra irányadó felmondás esetén a felmondási idő az Mt. 69. §-ban írtak szerint alakul. </w:t>
      </w:r>
    </w:p>
    <w:p w:rsidR="00000000" w:rsidRDefault="006B42E6">
      <w:pPr>
        <w:jc w:val="both"/>
      </w:pPr>
    </w:p>
    <w:p w:rsidR="00000000" w:rsidRDefault="006B42E6">
      <w:pPr>
        <w:numPr>
          <w:ilvl w:val="0"/>
          <w:numId w:val="2"/>
        </w:numPr>
        <w:jc w:val="both"/>
      </w:pPr>
      <w:r>
        <w:t>A Mu</w:t>
      </w:r>
      <w:r>
        <w:t>nkáltató kollektív szerződés hatálya alá nem tartozik.</w:t>
      </w:r>
    </w:p>
    <w:p w:rsidR="00000000" w:rsidRDefault="006B42E6">
      <w:pPr>
        <w:jc w:val="both"/>
      </w:pPr>
    </w:p>
    <w:p w:rsidR="00000000" w:rsidRDefault="006B42E6">
      <w:pPr>
        <w:numPr>
          <w:ilvl w:val="0"/>
          <w:numId w:val="2"/>
        </w:numPr>
        <w:jc w:val="both"/>
        <w:rPr>
          <w:b/>
        </w:rPr>
      </w:pPr>
      <w:r>
        <w:t>A Munkáltatói jogkör gyakorlója: a munkaszerződésben rögzítettek szerint.</w:t>
      </w:r>
    </w:p>
    <w:p w:rsidR="00000000" w:rsidRDefault="006B42E6">
      <w:pPr>
        <w:jc w:val="both"/>
        <w:rPr>
          <w:b/>
        </w:rPr>
      </w:pPr>
    </w:p>
    <w:p w:rsidR="00000000" w:rsidRDefault="006B42E6">
      <w:pPr>
        <w:jc w:val="both"/>
        <w:rPr>
          <w:b/>
        </w:rPr>
      </w:pPr>
    </w:p>
    <w:p w:rsidR="00000000" w:rsidRDefault="005861A4">
      <w:pPr>
        <w:jc w:val="both"/>
        <w:rPr>
          <w:b/>
        </w:rPr>
      </w:pPr>
      <w:r>
        <w:t>……………………………</w:t>
      </w:r>
      <w:r w:rsidR="006B42E6">
        <w:t xml:space="preserve">, </w:t>
      </w:r>
      <w:r>
        <w:t>………..</w:t>
      </w:r>
      <w:r w:rsidR="006B42E6">
        <w:t xml:space="preserve">. év </w:t>
      </w:r>
      <w:r>
        <w:t>………………………</w:t>
      </w:r>
      <w:proofErr w:type="gramStart"/>
      <w:r>
        <w:t>…….</w:t>
      </w:r>
      <w:proofErr w:type="gramEnd"/>
      <w:r>
        <w:t>.</w:t>
      </w:r>
      <w:r w:rsidR="006B42E6">
        <w:t xml:space="preserve"> hó </w:t>
      </w:r>
      <w:r>
        <w:t>…</w:t>
      </w:r>
      <w:proofErr w:type="gramStart"/>
      <w:r>
        <w:t>…….</w:t>
      </w:r>
      <w:proofErr w:type="gramEnd"/>
      <w:r w:rsidR="006B42E6">
        <w:t>. nap</w:t>
      </w:r>
    </w:p>
    <w:p w:rsidR="00000000" w:rsidRDefault="006B42E6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21"/>
      </w:tblGrid>
      <w:tr w:rsidR="00000000">
        <w:tc>
          <w:tcPr>
            <w:tcW w:w="4748" w:type="dxa"/>
            <w:shd w:val="clear" w:color="auto" w:fill="auto"/>
          </w:tcPr>
          <w:p w:rsidR="00000000" w:rsidRDefault="006B42E6">
            <w:pPr>
              <w:snapToGrid w:val="0"/>
              <w:jc w:val="center"/>
            </w:pPr>
          </w:p>
        </w:tc>
        <w:tc>
          <w:tcPr>
            <w:tcW w:w="4421" w:type="dxa"/>
            <w:shd w:val="clear" w:color="auto" w:fill="auto"/>
          </w:tcPr>
          <w:p w:rsidR="00000000" w:rsidRDefault="006B42E6">
            <w:pPr>
              <w:jc w:val="center"/>
            </w:pPr>
          </w:p>
          <w:p w:rsidR="00000000" w:rsidRDefault="006B42E6">
            <w:pPr>
              <w:jc w:val="center"/>
            </w:pPr>
            <w:r>
              <w:t>………………………………………</w:t>
            </w:r>
            <w:r>
              <w:t>.</w:t>
            </w:r>
          </w:p>
          <w:p w:rsidR="00000000" w:rsidRDefault="006B42E6">
            <w:pPr>
              <w:jc w:val="center"/>
            </w:pPr>
            <w:r>
              <w:t>munkáltatói jogkör gyakorlója</w:t>
            </w:r>
          </w:p>
        </w:tc>
      </w:tr>
    </w:tbl>
    <w:p w:rsidR="00000000" w:rsidRDefault="006B42E6">
      <w:pPr>
        <w:pStyle w:val="NormlWeb"/>
        <w:spacing w:before="0" w:after="0" w:line="275" w:lineRule="atLeast"/>
        <w:ind w:right="-15"/>
      </w:pPr>
    </w:p>
    <w:p w:rsidR="00000000" w:rsidRDefault="006B42E6">
      <w:pPr>
        <w:jc w:val="both"/>
      </w:pPr>
      <w:r>
        <w:t>Munkavállaló kijelenti, hog</w:t>
      </w:r>
      <w:r>
        <w:t>y a jelen tájékoztató rendelkezéseit megismerte és az abban foglaltakat tudomásul vette.</w:t>
      </w:r>
    </w:p>
    <w:p w:rsidR="00000000" w:rsidRDefault="006B42E6">
      <w:pPr>
        <w:jc w:val="both"/>
      </w:pPr>
    </w:p>
    <w:p w:rsidR="00000000" w:rsidRDefault="006B42E6">
      <w:pPr>
        <w:jc w:val="both"/>
      </w:pPr>
      <w:r>
        <w:t xml:space="preserve">Átvétel helye és időpontja: </w:t>
      </w:r>
    </w:p>
    <w:p w:rsidR="00000000" w:rsidRDefault="006B42E6">
      <w:pPr>
        <w:jc w:val="both"/>
      </w:pPr>
    </w:p>
    <w:p w:rsidR="005861A4" w:rsidRDefault="005861A4" w:rsidP="005861A4">
      <w:pPr>
        <w:jc w:val="both"/>
        <w:rPr>
          <w:b/>
        </w:rPr>
      </w:pPr>
      <w:r>
        <w:t>……………………………, ………... év ………………………</w:t>
      </w:r>
      <w:proofErr w:type="gramStart"/>
      <w:r>
        <w:t>…….</w:t>
      </w:r>
      <w:proofErr w:type="gramEnd"/>
      <w:r>
        <w:t>. hó …</w:t>
      </w:r>
      <w:proofErr w:type="gramStart"/>
      <w:r>
        <w:t>…….</w:t>
      </w:r>
      <w:proofErr w:type="gramEnd"/>
      <w:r>
        <w:t>. nap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421"/>
      </w:tblGrid>
      <w:tr w:rsidR="00000000">
        <w:tc>
          <w:tcPr>
            <w:tcW w:w="4748" w:type="dxa"/>
            <w:shd w:val="clear" w:color="auto" w:fill="auto"/>
          </w:tcPr>
          <w:p w:rsidR="00000000" w:rsidRDefault="006B42E6">
            <w:pPr>
              <w:snapToGrid w:val="0"/>
              <w:jc w:val="center"/>
            </w:pPr>
          </w:p>
          <w:p w:rsidR="00000000" w:rsidRDefault="006B42E6">
            <w:pPr>
              <w:jc w:val="center"/>
            </w:pPr>
          </w:p>
          <w:p w:rsidR="00000000" w:rsidRDefault="006B42E6">
            <w:pPr>
              <w:jc w:val="center"/>
            </w:pPr>
          </w:p>
        </w:tc>
        <w:tc>
          <w:tcPr>
            <w:tcW w:w="4421" w:type="dxa"/>
            <w:shd w:val="clear" w:color="auto" w:fill="auto"/>
          </w:tcPr>
          <w:p w:rsidR="00000000" w:rsidRDefault="006B42E6">
            <w:pPr>
              <w:snapToGrid w:val="0"/>
            </w:pPr>
          </w:p>
          <w:p w:rsidR="005861A4" w:rsidRDefault="005861A4">
            <w:pPr>
              <w:snapToGrid w:val="0"/>
            </w:pPr>
            <w:bookmarkStart w:id="0" w:name="_GoBack"/>
            <w:bookmarkEnd w:id="0"/>
          </w:p>
          <w:p w:rsidR="00000000" w:rsidRDefault="006B42E6">
            <w:pPr>
              <w:jc w:val="center"/>
            </w:pPr>
            <w:r>
              <w:t>………………………………………</w:t>
            </w:r>
            <w:r>
              <w:t>.</w:t>
            </w:r>
          </w:p>
          <w:p w:rsidR="00000000" w:rsidRDefault="006B42E6">
            <w:pPr>
              <w:jc w:val="center"/>
            </w:pPr>
            <w:r>
              <w:t>munkavállaló</w:t>
            </w:r>
          </w:p>
        </w:tc>
      </w:tr>
    </w:tbl>
    <w:p w:rsidR="00000000" w:rsidRDefault="006B42E6">
      <w:pPr>
        <w:rPr>
          <w:sz w:val="18"/>
          <w:szCs w:val="18"/>
        </w:rPr>
      </w:pPr>
      <w:r>
        <w:rPr>
          <w:sz w:val="18"/>
          <w:szCs w:val="18"/>
          <w:u w:val="single"/>
        </w:rPr>
        <w:t>Kapják:</w:t>
      </w:r>
      <w:r>
        <w:rPr>
          <w:sz w:val="18"/>
          <w:szCs w:val="18"/>
        </w:rPr>
        <w:t xml:space="preserve"> </w:t>
      </w:r>
    </w:p>
    <w:p w:rsidR="00000000" w:rsidRDefault="006B42E6">
      <w:pPr>
        <w:rPr>
          <w:sz w:val="18"/>
          <w:szCs w:val="18"/>
        </w:rPr>
      </w:pPr>
    </w:p>
    <w:p w:rsidR="00000000" w:rsidRDefault="006B42E6">
      <w:pPr>
        <w:rPr>
          <w:sz w:val="18"/>
          <w:szCs w:val="18"/>
        </w:rPr>
      </w:pPr>
      <w:r>
        <w:rPr>
          <w:sz w:val="18"/>
          <w:szCs w:val="18"/>
        </w:rPr>
        <w:t>1 pld. Munkavállaló</w:t>
      </w:r>
    </w:p>
    <w:p w:rsidR="005861A4" w:rsidRDefault="006B42E6">
      <w:pPr>
        <w:rPr>
          <w:sz w:val="18"/>
          <w:szCs w:val="18"/>
        </w:rPr>
      </w:pPr>
      <w:r>
        <w:rPr>
          <w:sz w:val="18"/>
          <w:szCs w:val="18"/>
        </w:rPr>
        <w:t>1 pld. Munkáltató</w:t>
      </w:r>
    </w:p>
    <w:p w:rsidR="006B42E6" w:rsidRDefault="006B42E6">
      <w:r>
        <w:rPr>
          <w:sz w:val="18"/>
          <w:szCs w:val="18"/>
        </w:rPr>
        <w:t>1 pld. K</w:t>
      </w:r>
      <w:r>
        <w:rPr>
          <w:sz w:val="18"/>
          <w:szCs w:val="18"/>
        </w:rPr>
        <w:t>önyvelés</w:t>
      </w:r>
    </w:p>
    <w:sectPr w:rsidR="006B42E6">
      <w:headerReference w:type="default" r:id="rId7"/>
      <w:headerReference w:type="firs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E6" w:rsidRDefault="006B42E6">
      <w:r>
        <w:separator/>
      </w:r>
    </w:p>
  </w:endnote>
  <w:endnote w:type="continuationSeparator" w:id="0">
    <w:p w:rsidR="006B42E6" w:rsidRDefault="006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E6" w:rsidRDefault="006B42E6">
      <w:r>
        <w:separator/>
      </w:r>
    </w:p>
  </w:footnote>
  <w:footnote w:type="continuationSeparator" w:id="0">
    <w:p w:rsidR="006B42E6" w:rsidRDefault="006B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B42E6">
    <w:pPr>
      <w:pStyle w:val="lfej"/>
      <w:rPr>
        <w:rFonts w:ascii="Tahoma" w:hAnsi="Tahoma" w:cs="Tahoma"/>
        <w:b/>
        <w:sz w:val="16"/>
        <w:lang w:val="hu-HU" w:eastAsia="hu-HU"/>
      </w:rPr>
    </w:pPr>
  </w:p>
  <w:p w:rsidR="00000000" w:rsidRDefault="006B42E6">
    <w:pPr>
      <w:pStyle w:val="lfej"/>
      <w:rPr>
        <w:rFonts w:ascii="Tahoma" w:hAnsi="Tahoma" w:cs="Tahoma"/>
        <w:b/>
        <w:sz w:val="16"/>
        <w:lang w:val="hu-HU" w:eastAsia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B42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A4"/>
    <w:rsid w:val="005861A4"/>
    <w:rsid w:val="006B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603014"/>
  <w15:chartTrackingRefBased/>
  <w15:docId w15:val="{834D8B5E-28D6-455A-9911-F7BA1567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Arial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Arial"/>
      <w:b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0">
    <w:name w:val="WW8Num4z0"/>
    <w:rPr>
      <w:rFonts w:cs="Times New Roman"/>
    </w:rPr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4"/>
      <w:szCs w:val="24"/>
    </w:rPr>
  </w:style>
  <w:style w:type="character" w:customStyle="1" w:styleId="WW8Num7z1">
    <w:name w:val="WW8Num7z1"/>
    <w:rPr>
      <w:rFonts w:cs="Times New Roman"/>
    </w:rPr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-WW8Num8ztrue">
    <w:name w:val="WW-WW8Num8ztrue"/>
  </w:style>
  <w:style w:type="character" w:customStyle="1" w:styleId="WW-WW8Num8ztrue1">
    <w:name w:val="WW-WW8Num8ztrue1"/>
  </w:style>
  <w:style w:type="character" w:customStyle="1" w:styleId="WW-WW8Num8ztrue2">
    <w:name w:val="WW-WW8Num8ztrue2"/>
  </w:style>
  <w:style w:type="character" w:customStyle="1" w:styleId="WW-WW8Num8ztrue3">
    <w:name w:val="WW-WW8Num8ztrue3"/>
  </w:style>
  <w:style w:type="character" w:customStyle="1" w:styleId="WW-WW8Num8ztrue4">
    <w:name w:val="WW-WW8Num8ztrue4"/>
  </w:style>
  <w:style w:type="character" w:customStyle="1" w:styleId="WW-WW8Num8ztrue5">
    <w:name w:val="WW-WW8Num8ztrue5"/>
  </w:style>
  <w:style w:type="character" w:customStyle="1" w:styleId="WW-WW8Num8ztrue6">
    <w:name w:val="WW-WW8Num8ztrue6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false">
    <w:name w:val="WW8Num12zfalse"/>
  </w:style>
  <w:style w:type="character" w:customStyle="1" w:styleId="WW8Num12ztrue">
    <w:name w:val="WW8Num12ztrue"/>
  </w:style>
  <w:style w:type="character" w:customStyle="1" w:styleId="WW-WW8Num12ztrue">
    <w:name w:val="WW-WW8Num12ztrue"/>
  </w:style>
  <w:style w:type="character" w:customStyle="1" w:styleId="WW-WW8Num12ztrue1">
    <w:name w:val="WW-WW8Num12ztrue1"/>
  </w:style>
  <w:style w:type="character" w:customStyle="1" w:styleId="WW-WW8Num12ztrue2">
    <w:name w:val="WW-WW8Num12ztrue2"/>
  </w:style>
  <w:style w:type="character" w:customStyle="1" w:styleId="WW-WW8Num12ztrue3">
    <w:name w:val="WW-WW8Num12ztrue3"/>
  </w:style>
  <w:style w:type="character" w:customStyle="1" w:styleId="WW-WW8Num12ztrue4">
    <w:name w:val="WW-WW8Num12ztrue4"/>
  </w:style>
  <w:style w:type="character" w:customStyle="1" w:styleId="WW-WW8Num12ztrue5">
    <w:name w:val="WW-WW8Num12ztrue5"/>
  </w:style>
  <w:style w:type="character" w:customStyle="1" w:styleId="WW-WW8Num12ztrue6">
    <w:name w:val="WW-WW8Num12ztrue6"/>
  </w:style>
  <w:style w:type="character" w:customStyle="1" w:styleId="WW8Num13zfalse">
    <w:name w:val="WW8Num13zfalse"/>
  </w:style>
  <w:style w:type="character" w:customStyle="1" w:styleId="WW8Num13ztrue">
    <w:name w:val="WW8Num13ztrue"/>
  </w:style>
  <w:style w:type="character" w:customStyle="1" w:styleId="WW-WW8Num13ztrue">
    <w:name w:val="WW-WW8Num13ztrue"/>
  </w:style>
  <w:style w:type="character" w:customStyle="1" w:styleId="WW-WW8Num13ztrue1">
    <w:name w:val="WW-WW8Num13ztrue1"/>
  </w:style>
  <w:style w:type="character" w:customStyle="1" w:styleId="WW-WW8Num13ztrue2">
    <w:name w:val="WW-WW8Num13ztrue2"/>
  </w:style>
  <w:style w:type="character" w:customStyle="1" w:styleId="WW-WW8Num13ztrue3">
    <w:name w:val="WW-WW8Num13ztrue3"/>
  </w:style>
  <w:style w:type="character" w:customStyle="1" w:styleId="WW-WW8Num13ztrue4">
    <w:name w:val="WW-WW8Num13ztrue4"/>
  </w:style>
  <w:style w:type="character" w:customStyle="1" w:styleId="WW-WW8Num13ztrue5">
    <w:name w:val="WW-WW8Num13ztrue5"/>
  </w:style>
  <w:style w:type="character" w:customStyle="1" w:styleId="WW-WW8Num13ztrue6">
    <w:name w:val="WW-WW8Num13ztrue6"/>
  </w:style>
  <w:style w:type="character" w:customStyle="1" w:styleId="WW8Num14z0">
    <w:name w:val="WW8Num14z0"/>
    <w:rPr>
      <w:rFonts w:cs="Times New Roman"/>
    </w:rPr>
  </w:style>
  <w:style w:type="character" w:customStyle="1" w:styleId="WW8Num15zfalse">
    <w:name w:val="WW8Num15zfalse"/>
    <w:rPr>
      <w:rFonts w:ascii="Times New Roman" w:hAnsi="Times New Roman" w:cs="Arial"/>
    </w:rPr>
  </w:style>
  <w:style w:type="character" w:customStyle="1" w:styleId="WW8Num15ztrue">
    <w:name w:val="WW8Num15ztrue"/>
  </w:style>
  <w:style w:type="character" w:customStyle="1" w:styleId="WW-WW8Num15ztrue">
    <w:name w:val="WW-WW8Num15ztrue"/>
  </w:style>
  <w:style w:type="character" w:customStyle="1" w:styleId="WW-WW8Num15ztrue1">
    <w:name w:val="WW-WW8Num15ztrue1"/>
  </w:style>
  <w:style w:type="character" w:customStyle="1" w:styleId="WW-WW8Num15ztrue2">
    <w:name w:val="WW-WW8Num15ztrue2"/>
  </w:style>
  <w:style w:type="character" w:customStyle="1" w:styleId="WW-WW8Num15ztrue3">
    <w:name w:val="WW-WW8Num15ztrue3"/>
  </w:style>
  <w:style w:type="character" w:customStyle="1" w:styleId="WW-WW8Num15ztrue4">
    <w:name w:val="WW-WW8Num15ztrue4"/>
  </w:style>
  <w:style w:type="character" w:customStyle="1" w:styleId="WW-WW8Num15ztrue5">
    <w:name w:val="WW-WW8Num15ztrue5"/>
  </w:style>
  <w:style w:type="character" w:customStyle="1" w:styleId="WW-WW8Num15ztrue6">
    <w:name w:val="WW-WW8Num15ztrue6"/>
  </w:style>
  <w:style w:type="character" w:customStyle="1" w:styleId="WW8Num16z0">
    <w:name w:val="WW8Num16z0"/>
    <w:rPr>
      <w:rFonts w:cs="Times New Roman"/>
    </w:rPr>
  </w:style>
  <w:style w:type="character" w:customStyle="1" w:styleId="Bekezdsalapbettpusa1">
    <w:name w:val="Bekezdés alapbetűtípusa1"/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BuborkszvegChar">
    <w:name w:val="Buborékszöveg Char"/>
    <w:basedOn w:val="Bekezdsalapbettpusa1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1"/>
  </w:style>
  <w:style w:type="character" w:customStyle="1" w:styleId="Cmsor8Char">
    <w:name w:val="Címsor 8 Char"/>
    <w:basedOn w:val="Bekezdsalapbettpus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Char">
    <w:name w:val="Cím Char"/>
    <w:basedOn w:val="Bekezdsalapbettpusa1"/>
    <w:rPr>
      <w:rFonts w:ascii="Arial" w:eastAsia="Times New Roman" w:hAnsi="Arial" w:cs="Arial"/>
      <w:b/>
      <w:bCs/>
      <w:sz w:val="24"/>
      <w:szCs w:val="24"/>
    </w:rPr>
  </w:style>
  <w:style w:type="paragraph" w:customStyle="1" w:styleId="Cmsor">
    <w:name w:val="Címsor"/>
    <w:basedOn w:val="Norml"/>
    <w:next w:val="Szvegtrzs"/>
    <w:pPr>
      <w:jc w:val="center"/>
    </w:pPr>
    <w:rPr>
      <w:rFonts w:ascii="Arial" w:hAnsi="Arial" w:cs="Arial"/>
      <w:b/>
      <w:bCs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spacing w:before="280" w:after="280"/>
    </w:pPr>
  </w:style>
  <w:style w:type="paragraph" w:styleId="Listaszerbekezds">
    <w:name w:val="List Paragraph"/>
    <w:basedOn w:val="Norml"/>
    <w:qFormat/>
    <w:pPr>
      <w:ind w:left="708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www.HRDOCSHOP.hu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>www.HRDOCSHOP.hu</dc:subject>
  <dc:creator>Tuska István;Accuratus Könyvelés</dc:creator>
  <cp:keywords>Tájékoztató</cp:keywords>
  <dc:description>Ezt a munkaügyi iratmintát a www.hrdocshop.hu oldalról töltötte le! Munkaügyi iratminták a belépéstől a kilépésig, a TB-től a munkavédelemig!
www.hrdocshop.hu</dc:description>
  <cp:lastModifiedBy>István Tuska</cp:lastModifiedBy>
  <cp:revision>2</cp:revision>
  <cp:lastPrinted>2015-09-03T07:41:00Z</cp:lastPrinted>
  <dcterms:created xsi:type="dcterms:W3CDTF">2019-01-20T20:33:00Z</dcterms:created>
  <dcterms:modified xsi:type="dcterms:W3CDTF">2019-01-20T20:33:00Z</dcterms:modified>
</cp:coreProperties>
</file>